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63D3111"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409691DA" w14:textId="77777777" w:rsidR="00A52804" w:rsidRPr="00767ECF" w:rsidRDefault="00A52804" w:rsidP="00A52804">
      <w:pPr>
        <w:keepNext/>
        <w:rPr>
          <w:rFonts w:asciiTheme="minorHAnsi" w:hAnsiTheme="minorHAnsi" w:cstheme="minorHAnsi"/>
          <w:b/>
          <w:i/>
          <w:sz w:val="22"/>
          <w:szCs w:val="22"/>
        </w:rPr>
      </w:pPr>
      <w:r w:rsidRPr="00767ECF">
        <w:rPr>
          <w:rFonts w:asciiTheme="minorHAnsi" w:hAnsiTheme="minorHAnsi" w:cstheme="minorHAnsi"/>
          <w:b/>
          <w:i/>
          <w:sz w:val="22"/>
          <w:szCs w:val="22"/>
        </w:rPr>
        <w:lastRenderedPageBreak/>
        <w:t>„Poplatky za užití autobusových stání“</w:t>
      </w:r>
    </w:p>
    <w:p w14:paraId="54905841" w14:textId="6B6622AC" w:rsidR="00A52804" w:rsidRDefault="00A52804" w:rsidP="00A52804">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5DFCA554"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EC0D3B">
        <w:rPr>
          <w:rFonts w:ascii="Calibri" w:hAnsi="Calibri"/>
          <w:sz w:val="22"/>
          <w:lang w:bidi="en-US"/>
        </w:rPr>
        <w:t>5</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lastRenderedPageBreak/>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51E081FF"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w:t>
      </w:r>
      <w:r w:rsidR="00A52804">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r w:rsidR="00A52804" w:rsidRPr="00F31FF6">
        <w:t xml:space="preserve">a Poplatky za užití autobusových stání </w:t>
      </w:r>
      <w:r w:rsidR="00A52804" w:rsidRPr="00044BDB">
        <w:t>bud</w:t>
      </w:r>
      <w:r w:rsidR="00A52804">
        <w:t>ou</w:t>
      </w:r>
      <w:r w:rsidR="00A52804" w:rsidRPr="00044BDB">
        <w:t xml:space="preserve"> </w:t>
      </w:r>
      <w:r w:rsidRPr="00044BDB">
        <w:t xml:space="preserve">Dopravci Objednatelem </w:t>
      </w:r>
      <w:r w:rsidR="00A52804" w:rsidRPr="00044BDB">
        <w:t>hrazen</w:t>
      </w:r>
      <w:r w:rsidR="00A52804">
        <w:t>y</w:t>
      </w:r>
      <w:r w:rsidR="00A52804" w:rsidRPr="00044BDB">
        <w:t xml:space="preserve"> </w:t>
      </w:r>
      <w:r w:rsidRPr="00044BDB">
        <w:t xml:space="preserve">současně s Doplatkem, a to na základě vyúčtování mýtného </w:t>
      </w:r>
      <w:r w:rsidR="00A52804" w:rsidRPr="00B34F85">
        <w:t>a Poplatků za užití autobusových stání</w:t>
      </w:r>
      <w:r w:rsidR="00A52804" w:rsidRPr="00044BDB">
        <w:t xml:space="preserve"> </w:t>
      </w:r>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r w:rsidR="00A52804" w:rsidRPr="00B34F85">
        <w:t xml:space="preserve">Vyúčtování Poplatků za užití autobusových stání musí obsahovat uhrazené ceny za užití autobusových stání s rozlišením podle místa zpoplatnění, </w:t>
      </w:r>
      <w:r w:rsidR="00A52804">
        <w:t>L</w:t>
      </w:r>
      <w:r w:rsidR="00A52804" w:rsidRPr="00B34F85">
        <w:t xml:space="preserve">inek a </w:t>
      </w:r>
      <w:r w:rsidR="00A52804">
        <w:t>S</w:t>
      </w:r>
      <w:r w:rsidR="00A52804"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A52804">
        <w:t>3</w:t>
      </w:r>
      <w:r w:rsidR="00A52804"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r w:rsidR="00A52804" w:rsidRPr="00A52804">
        <w:t xml:space="preserve"> </w:t>
      </w:r>
      <w:r w:rsidR="00A52804" w:rsidRPr="00B34F85">
        <w:t xml:space="preserve">Obdobně Objednatel Dopravci hradí jen Poplatky za užití autobusových stání v rámci plnění Závazku veřejné služby na </w:t>
      </w:r>
      <w:r w:rsidR="00A52804">
        <w:t>S</w:t>
      </w:r>
      <w:r w:rsidR="00A52804" w:rsidRPr="00B34F85">
        <w:t>pojích dle Přílohy č. 1</w:t>
      </w:r>
      <w:r w:rsidR="00A52804">
        <w:t>a a Přílohy č. 1b</w:t>
      </w:r>
      <w:r w:rsidR="00A52804" w:rsidRPr="00B34F85">
        <w:t xml:space="preserve"> této Smlouvy, a to pouze v případě, že </w:t>
      </w:r>
      <w:r w:rsidR="00A52804">
        <w:t>Objednateli</w:t>
      </w:r>
      <w:r w:rsidR="00A52804" w:rsidRPr="00B34F85">
        <w:t xml:space="preserve"> poskytne smlouvu o užívání autobusových stání a každou její změnu.</w:t>
      </w:r>
    </w:p>
    <w:p w14:paraId="70B5D8C2" w14:textId="424B080C" w:rsidR="002166E6" w:rsidRPr="00C17C32" w:rsidRDefault="000031BF" w:rsidP="00075287">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w:t>
      </w:r>
      <w:r w:rsidRPr="007A49BB">
        <w:lastRenderedPageBreak/>
        <w:t xml:space="preserve">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 xml:space="preserve">před jeho nasazením do provozu. Současně s tímto oznámením musí Dopravce předložit aktualizovaný soupis Vozidel a dále, neprodleně poté, co bude mít k dispozici, kopii inventární </w:t>
      </w:r>
      <w:r w:rsidRPr="007A49BB">
        <w:lastRenderedPageBreak/>
        <w:t>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w:t>
      </w:r>
      <w:r w:rsidRPr="007A49BB">
        <w:lastRenderedPageBreak/>
        <w:t xml:space="preserve">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lastRenderedPageBreak/>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30B3AD05"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DB68F5">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r w:rsidR="00F90654" w:rsidRPr="00F90654">
        <w:t>.</w:t>
      </w:r>
    </w:p>
    <w:p w14:paraId="0245AE69" w14:textId="5C953C8A"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t xml:space="preserve">Objednatel má v případě objektivně odůvodněných potřeb právo zadat Dopravci povinnost provozovat po omezenou dobu dopravu i na Spojích a Autobusových linkách provozovaných jinými dopravci. Tak </w:t>
      </w:r>
      <w:r w:rsidRPr="007A49BB">
        <w:lastRenderedPageBreak/>
        <w:t>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lastRenderedPageBreak/>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3966E96" w:rsidR="000031BF" w:rsidRDefault="000031BF" w:rsidP="006B37D0">
      <w:pPr>
        <w:pStyle w:val="Clanek11"/>
        <w:widowControl/>
        <w:tabs>
          <w:tab w:val="clear" w:pos="1180"/>
        </w:tabs>
        <w:ind w:left="0" w:hanging="709"/>
      </w:pPr>
      <w:bookmarkStart w:id="67"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039B0893" w:rsidR="007C61F3" w:rsidRDefault="007C61F3" w:rsidP="006B37D0">
      <w:pPr>
        <w:pStyle w:val="Clanek11"/>
        <w:widowControl/>
        <w:tabs>
          <w:tab w:val="clear" w:pos="1180"/>
        </w:tabs>
        <w:ind w:left="0" w:hanging="709"/>
      </w:pPr>
      <w:bookmarkStart w:id="70"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0"/>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1" w:name="_Ref40897235"/>
      <w:r w:rsidRPr="00D93DD6">
        <w:t xml:space="preserve">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w:t>
      </w:r>
      <w:r w:rsidRPr="00D93DD6">
        <w:lastRenderedPageBreak/>
        <w:t>je povinen provádět kontroly způsobem, který nebude nad přiměřenou míru zatěžovat běžný provoz Dopravce.</w:t>
      </w:r>
      <w:bookmarkEnd w:id="71"/>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2"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3" w:name="_Ref274700062"/>
      <w:bookmarkEnd w:id="72"/>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3"/>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4"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4"/>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5"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5"/>
    </w:p>
    <w:p w14:paraId="290196DA" w14:textId="2617BB92" w:rsidR="000031BF" w:rsidRPr="007A49BB" w:rsidRDefault="000031BF" w:rsidP="006B37D0">
      <w:pPr>
        <w:pStyle w:val="Clanek11"/>
        <w:widowControl/>
        <w:tabs>
          <w:tab w:val="clear" w:pos="1180"/>
        </w:tabs>
        <w:ind w:left="0" w:hanging="709"/>
      </w:pPr>
      <w:bookmarkStart w:id="76" w:name="_Ref15231440"/>
      <w:r w:rsidRPr="007A49BB">
        <w:lastRenderedPageBreak/>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6"/>
    </w:p>
    <w:p w14:paraId="3D05006A" w14:textId="4954B82E" w:rsidR="000031BF" w:rsidRPr="007A49BB" w:rsidRDefault="000031BF" w:rsidP="006B37D0">
      <w:pPr>
        <w:pStyle w:val="Clanek11"/>
        <w:widowControl/>
        <w:tabs>
          <w:tab w:val="clear" w:pos="1180"/>
        </w:tabs>
        <w:ind w:left="0" w:hanging="709"/>
      </w:pPr>
      <w:bookmarkStart w:id="77" w:name="_Ref279968407"/>
      <w:r w:rsidRPr="007A49BB">
        <w:t>Objednatel je dále oprávněn vypovědět tuto Smlouvu pouze v následujících případech:</w:t>
      </w:r>
      <w:bookmarkEnd w:id="77"/>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78"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78"/>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79"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79"/>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w:t>
      </w:r>
      <w:r w:rsidR="000031BF" w:rsidRPr="007A49BB">
        <w:lastRenderedPageBreak/>
        <w:t>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0" w:name="_Ref274782997"/>
      <w:bookmarkStart w:id="81" w:name="_Ref15231903"/>
      <w:bookmarkStart w:id="82"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0"/>
      <w:r w:rsidRPr="007A49BB">
        <w:t xml:space="preserve">vyplývajících pro Dopravce z této Smlouvy a právních předpisů </w:t>
      </w:r>
      <w:bookmarkStart w:id="83"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1"/>
      <w:bookmarkEnd w:id="83"/>
    </w:p>
    <w:p w14:paraId="2E06BB6B" w14:textId="5434A552" w:rsidR="000031BF" w:rsidRPr="007A49BB" w:rsidRDefault="000031BF" w:rsidP="006B37D0">
      <w:pPr>
        <w:pStyle w:val="Clanek11"/>
        <w:widowControl/>
        <w:tabs>
          <w:tab w:val="clear" w:pos="1180"/>
        </w:tabs>
        <w:ind w:left="0" w:hanging="709"/>
      </w:pPr>
      <w:bookmarkStart w:id="84"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4"/>
    </w:p>
    <w:bookmarkEnd w:id="82"/>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5"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5"/>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 xml:space="preserve">Povinnosti hradit smluvní pokutu dle této Smlouvy se Dopravce zprostí v případě, že prokáže, že porušení povinnosti bylo způsobeno okolnostmi vylučujícími protiprávnost ve smyslu § 2913 odst. 2 </w:t>
      </w:r>
      <w:r w:rsidRPr="007A49BB">
        <w:lastRenderedPageBreak/>
        <w:t>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86"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6"/>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lastRenderedPageBreak/>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87" w:name="_Ref16592409"/>
      <w:r w:rsidRPr="007A49BB">
        <w:t>Nedílnou součástí této Smlouvy</w:t>
      </w:r>
      <w:r w:rsidR="00F26BD2">
        <w:t xml:space="preserve"> je dokument Smluvní pokuty a </w:t>
      </w:r>
      <w:r w:rsidRPr="007A49BB">
        <w:t>následující přílohy:</w:t>
      </w:r>
      <w:bookmarkEnd w:id="87"/>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88"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89"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7929A0A8"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0"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0"/>
      <w:r w:rsidR="00A52804" w:rsidRPr="00A52804">
        <w:rPr>
          <w:rFonts w:asciiTheme="minorHAnsi" w:hAnsiTheme="minorHAnsi" w:cstheme="minorHAnsi"/>
          <w:szCs w:val="22"/>
        </w:rPr>
        <w:t xml:space="preserve"> </w:t>
      </w:r>
      <w:r w:rsidR="00A52804" w:rsidRPr="0088440A">
        <w:rPr>
          <w:rFonts w:asciiTheme="minorHAnsi" w:hAnsiTheme="minorHAnsi" w:cstheme="minorHAnsi"/>
          <w:szCs w:val="22"/>
        </w:rPr>
        <w:t>Vzor vyúčtování Poplatků za užití autobusových stání</w:t>
      </w:r>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89"/>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88"/>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1"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1"/>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113DBE" w14:textId="77777777" w:rsidR="00820C3C" w:rsidRDefault="00820C3C" w:rsidP="00161B4F">
      <w:r>
        <w:separator/>
      </w:r>
    </w:p>
  </w:endnote>
  <w:endnote w:type="continuationSeparator" w:id="0">
    <w:p w14:paraId="269EA51C" w14:textId="77777777" w:rsidR="00820C3C" w:rsidRDefault="00820C3C" w:rsidP="00161B4F">
      <w:r>
        <w:continuationSeparator/>
      </w:r>
    </w:p>
  </w:endnote>
  <w:endnote w:type="continuationNotice" w:id="1">
    <w:p w14:paraId="038CE31B" w14:textId="77777777" w:rsidR="00820C3C" w:rsidRDefault="00820C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27580" w14:textId="3BD48D79"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EC0D3B">
      <w:rPr>
        <w:rFonts w:ascii="Calibri" w:hAnsi="Calibri"/>
        <w:b/>
        <w:sz w:val="22"/>
        <w:szCs w:val="22"/>
      </w:rPr>
      <w:t>5</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180805" w14:textId="77777777" w:rsidR="00820C3C" w:rsidRDefault="00820C3C" w:rsidP="00161B4F">
      <w:r>
        <w:separator/>
      </w:r>
    </w:p>
  </w:footnote>
  <w:footnote w:type="continuationSeparator" w:id="0">
    <w:p w14:paraId="37B585A9" w14:textId="77777777" w:rsidR="00820C3C" w:rsidRDefault="00820C3C" w:rsidP="00161B4F">
      <w:r>
        <w:continuationSeparator/>
      </w:r>
    </w:p>
  </w:footnote>
  <w:footnote w:type="continuationNotice" w:id="1">
    <w:p w14:paraId="1FD6E445" w14:textId="77777777" w:rsidR="00820C3C" w:rsidRDefault="00820C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AEA"/>
    <w:rsid w:val="00063C6E"/>
    <w:rsid w:val="000647C8"/>
    <w:rsid w:val="0006686F"/>
    <w:rsid w:val="000702C2"/>
    <w:rsid w:val="0007209C"/>
    <w:rsid w:val="00075287"/>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5E56"/>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06BE8"/>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0964"/>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0C3C"/>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2804"/>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3D0F"/>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B68F5"/>
    <w:rsid w:val="00DC3544"/>
    <w:rsid w:val="00DC5E73"/>
    <w:rsid w:val="00DD07E7"/>
    <w:rsid w:val="00DD26AD"/>
    <w:rsid w:val="00DD2896"/>
    <w:rsid w:val="00DD31E1"/>
    <w:rsid w:val="00DD34E9"/>
    <w:rsid w:val="00DD6E52"/>
    <w:rsid w:val="00DE027F"/>
    <w:rsid w:val="00DE33A7"/>
    <w:rsid w:val="00DE65A2"/>
    <w:rsid w:val="00DE75CD"/>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97CC6"/>
    <w:rsid w:val="00EA09C7"/>
    <w:rsid w:val="00EA1193"/>
    <w:rsid w:val="00EA3293"/>
    <w:rsid w:val="00EA3D34"/>
    <w:rsid w:val="00EA4F56"/>
    <w:rsid w:val="00EA631D"/>
    <w:rsid w:val="00EA7C3F"/>
    <w:rsid w:val="00EB0E34"/>
    <w:rsid w:val="00EB15E4"/>
    <w:rsid w:val="00EB2800"/>
    <w:rsid w:val="00EB41E1"/>
    <w:rsid w:val="00EB786B"/>
    <w:rsid w:val="00EC0D3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C7446"/>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16602</Words>
  <Characters>97957</Characters>
  <Application>Microsoft Office Word</Application>
  <DocSecurity>0</DocSecurity>
  <Lines>816</Lines>
  <Paragraphs>228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2021-05-14T09:12:00Z</dcterms:created>
  <dcterms:modified xsi:type="dcterms:W3CDTF">2021-07-08T13:34:00Z</dcterms:modified>
</cp:coreProperties>
</file>